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bCs/>
        </w:rPr>
      </w:pPr>
      <w:r>
        <w:rPr>
          <w:b/>
          <w:bCs/>
        </w:rPr>
        <w:t xml:space="preserve">Sieniawa: Zakup paliw płynnych w 2017 roku, dokonywana bezpośrednio na stacji paliw dla </w:t>
      </w:r>
      <w:proofErr w:type="spellStart"/>
      <w:r>
        <w:rPr>
          <w:b/>
          <w:bCs/>
        </w:rPr>
        <w:t>ZGKiM</w:t>
      </w:r>
      <w:proofErr w:type="spellEnd"/>
      <w:r>
        <w:rPr>
          <w:b/>
          <w:bCs/>
        </w:rPr>
        <w:t xml:space="preserve"> Sieniawa </w:t>
      </w:r>
      <w:bookmarkStart w:id="0" w:name="_GoBack"/>
      <w:bookmarkEnd w:id="0"/>
      <w:r>
        <w:rPr>
          <w:b/>
          <w:bCs/>
        </w:rPr>
        <w:br/>
        <w:t>OGŁOSZENIE O ZAMÓWIENIU – Dostawy</w:t>
      </w:r>
    </w:p>
    <w:p>
      <w:pPr>
        <w:jc w:val="center"/>
        <w:rPr>
          <w:b/>
          <w:bCs/>
        </w:rPr>
      </w:pPr>
      <w:r>
        <w:rPr>
          <w:rFonts w:ascii="Tahoma" w:hAnsi="Tahoma" w:cs="Tahoma"/>
          <w:b/>
          <w:color w:val="000000"/>
          <w:sz w:val="18"/>
          <w:szCs w:val="18"/>
          <w:shd w:val="clear" w:color="auto" w:fill="FFFFFF"/>
        </w:rPr>
        <w:t>Ogłoszenie nr 344939 - 2016 z dnia 2016-11-17 r.</w:t>
      </w:r>
    </w:p>
    <w:p>
      <w:pPr>
        <w:spacing w:after="0"/>
      </w:pPr>
      <w:r>
        <w:rPr>
          <w:b/>
          <w:bCs/>
        </w:rPr>
        <w:t>Zamieszczanie ogłoszenia:</w:t>
      </w:r>
      <w:r>
        <w:t> obowiązkowe</w:t>
      </w:r>
    </w:p>
    <w:p>
      <w:pPr>
        <w:spacing w:after="0"/>
      </w:pPr>
      <w:r>
        <w:rPr>
          <w:b/>
          <w:bCs/>
        </w:rPr>
        <w:t>Ogłoszenie dotyczy:</w:t>
      </w:r>
    </w:p>
    <w:p>
      <w:pPr>
        <w:spacing w:after="0"/>
      </w:pPr>
      <w:r>
        <w:rPr>
          <w:b/>
          <w:bCs/>
        </w:rPr>
        <w:t>Zamówienie dotyczy projektu lub programu współfinansowanego ze środków Unii Europejskiej </w:t>
      </w:r>
    </w:p>
    <w:p>
      <w:pPr>
        <w:spacing w:after="0"/>
      </w:pPr>
      <w:r>
        <w:t>nie</w:t>
      </w:r>
    </w:p>
    <w:p>
      <w:pPr>
        <w:spacing w:after="0"/>
      </w:pPr>
      <w:r>
        <w:br/>
      </w:r>
      <w:r>
        <w:rPr>
          <w:b/>
          <w:bCs/>
        </w:rPr>
        <w:t>Nazwa projektu lub programu</w:t>
      </w:r>
    </w:p>
    <w:p>
      <w:pPr>
        <w:spacing w:after="0"/>
      </w:pPr>
      <w:r>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spacing w:after="0"/>
      </w:pPr>
      <w:r>
        <w:t>nie</w:t>
      </w:r>
    </w:p>
    <w:p>
      <w:pPr>
        <w:spacing w:after="0"/>
      </w:pPr>
      <w:r>
        <w:b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 </w:t>
      </w:r>
    </w:p>
    <w:p>
      <w:pPr>
        <w:spacing w:after="0"/>
        <w:rPr>
          <w:b/>
          <w:bCs/>
        </w:rPr>
      </w:pPr>
      <w:r>
        <w:rPr>
          <w:b/>
          <w:bCs/>
          <w:u w:val="single"/>
        </w:rPr>
        <w:t>SEKCJA I: ZAMAWIAJĄCY</w:t>
      </w:r>
    </w:p>
    <w:p>
      <w:pPr>
        <w:spacing w:after="0"/>
      </w:pPr>
      <w:r>
        <w:rPr>
          <w:b/>
          <w:bCs/>
        </w:rPr>
        <w:t>Postępowanie przeprowadza centralny zamawiający </w:t>
      </w:r>
    </w:p>
    <w:p>
      <w:pPr>
        <w:spacing w:after="0"/>
      </w:pPr>
      <w:r>
        <w:t>nie</w:t>
      </w:r>
    </w:p>
    <w:p>
      <w:pPr>
        <w:spacing w:after="0"/>
      </w:pPr>
      <w:r>
        <w:rPr>
          <w:b/>
          <w:bCs/>
        </w:rPr>
        <w:t>Postępowanie przeprowadza podmiot, któremu zamawiający powierzył/powierzyli przeprowadzenie postępowania </w:t>
      </w:r>
    </w:p>
    <w:p>
      <w:pPr>
        <w:spacing w:after="0"/>
      </w:pPr>
      <w:r>
        <w:t>nie</w:t>
      </w:r>
    </w:p>
    <w:p>
      <w:pPr>
        <w:spacing w:after="0"/>
      </w:pPr>
      <w:r>
        <w:rPr>
          <w:b/>
          <w:bCs/>
        </w:rPr>
        <w:t>Informacje na temat podmiotu któremu zamawiający powierzył/powierzyli prowadzenie postępowania:</w:t>
      </w:r>
      <w:r>
        <w:br/>
      </w:r>
      <w:r>
        <w:rPr>
          <w:b/>
          <w:bCs/>
        </w:rPr>
        <w:t>Postępowanie jest przeprowadzane wspólnie przez zamawiających</w:t>
      </w:r>
    </w:p>
    <w:p>
      <w:pPr>
        <w:spacing w:after="0"/>
      </w:pPr>
      <w:r>
        <w:t>nie</w:t>
      </w:r>
    </w:p>
    <w:p>
      <w:pPr>
        <w:spacing w:after="0"/>
      </w:pPr>
      <w:r>
        <w:br/>
        <w:t>Jeżeli tak, należy wymienić zamawiających, którzy wspólnie przeprowadzają postępowanie oraz podać adresy ich siedzib, krajowe numery identyfikacyjne oraz osoby do kontaktów wraz z danymi do kontaktów: </w:t>
      </w:r>
      <w:r>
        <w:br/>
      </w:r>
      <w:r>
        <w:br/>
      </w:r>
      <w:r>
        <w:rPr>
          <w:b/>
          <w:bCs/>
        </w:rPr>
        <w:t>Postępowanie jest przeprowadzane wspólnie z zamawiającymi z innych państw członkowskich Unii Europejskiej </w:t>
      </w:r>
    </w:p>
    <w:p>
      <w:pPr>
        <w:spacing w:after="0"/>
      </w:pPr>
      <w:r>
        <w:t>nie</w:t>
      </w:r>
    </w:p>
    <w:p>
      <w:pPr>
        <w:spacing w:after="0"/>
      </w:pPr>
      <w:r>
        <w:rPr>
          <w:b/>
          <w:bCs/>
        </w:rPr>
        <w:t>W przypadku przeprowadzania postępowania wspólnie z zamawiającymi z innych państw członkowskich Unii Europejskiej – mające zastosowanie krajowe prawo zamówień publicznych:</w:t>
      </w:r>
      <w:r>
        <w:br/>
      </w:r>
      <w:r>
        <w:rPr>
          <w:b/>
          <w:bCs/>
        </w:rPr>
        <w:t>Informacje dodatkowe:</w:t>
      </w:r>
    </w:p>
    <w:p>
      <w:pPr>
        <w:spacing w:after="0"/>
      </w:pPr>
      <w:r>
        <w:rPr>
          <w:b/>
          <w:bCs/>
        </w:rPr>
        <w:t>I. 1) NAZWA I ADRES: </w:t>
      </w:r>
      <w:r>
        <w:t>Zakład Gospodarki Komunalnej i Mieszkaniowej, krajowy numer identyfikacyjny 65000979100000, ul. ul. Augustowska  15, 37530   Sieniawa, woj. podkarpackie, państwo Polska, tel. 16 622 72 35, e-mail , faks 16 622 72 35. </w:t>
      </w:r>
      <w:r>
        <w:br/>
        <w:t>Adres strony internetowej (URL): www.bip.zgkim.sieniawa.pl</w:t>
      </w:r>
    </w:p>
    <w:p>
      <w:pPr>
        <w:spacing w:after="0"/>
      </w:pPr>
      <w:r>
        <w:rPr>
          <w:b/>
          <w:bCs/>
        </w:rPr>
        <w:t>I. 2) RODZAJ ZAMAWIAJĄCEGO: </w:t>
      </w:r>
      <w:r>
        <w:t>Administracja samorządowa</w:t>
      </w:r>
    </w:p>
    <w:p>
      <w:pPr>
        <w:spacing w:after="0"/>
      </w:pPr>
      <w:r>
        <w:rPr>
          <w:b/>
          <w:bCs/>
        </w:rPr>
        <w:t>I.3) WSPÓLNE UDZIELANIE ZAMÓWIENIA </w:t>
      </w:r>
      <w:r>
        <w:rPr>
          <w:b/>
          <w:bCs/>
          <w:i/>
          <w:iCs/>
        </w:rPr>
        <w:t>(jeżeli dotyczy)</w:t>
      </w:r>
      <w:r>
        <w:rPr>
          <w:b/>
          <w:bCs/>
        </w:rPr>
        <w:t>:</w:t>
      </w:r>
    </w:p>
    <w:p>
      <w:pPr>
        <w:spacing w:after="0"/>
      </w:pPr>
      <w: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spacing w:after="0"/>
      </w:pPr>
      <w:r>
        <w:rPr>
          <w:b/>
          <w:bCs/>
        </w:rPr>
        <w:t>I.4) KOMUNIKACJA: </w:t>
      </w:r>
      <w:r>
        <w:br/>
      </w:r>
      <w:r>
        <w:rPr>
          <w:b/>
          <w:bCs/>
        </w:rPr>
        <w:t>Nieograniczony, pełny i bezpośredni dostęp do dokumentów z postępowania można uzyskać pod adresem (URL)</w:t>
      </w:r>
    </w:p>
    <w:p>
      <w:pPr>
        <w:spacing w:after="0"/>
      </w:pPr>
      <w:r>
        <w:t>nie </w:t>
      </w:r>
      <w:r>
        <w:br/>
        <w:t>www.bip.zgkim.sieniawa.pl</w:t>
      </w:r>
    </w:p>
    <w:p>
      <w:pPr>
        <w:spacing w:after="0"/>
      </w:pPr>
      <w:r>
        <w:br/>
      </w:r>
      <w:r>
        <w:rPr>
          <w:b/>
          <w:bCs/>
        </w:rPr>
        <w:t>Adres strony internetowej, na której zamieszczona będzie specyfikacja istotnych warunków zamówienia</w:t>
      </w:r>
    </w:p>
    <w:p>
      <w:pPr>
        <w:spacing w:after="0"/>
      </w:pPr>
      <w:r>
        <w:t>tak </w:t>
      </w:r>
      <w:r>
        <w:br/>
        <w:t>www.bip.zgkim.sieniawa.pl</w:t>
      </w:r>
    </w:p>
    <w:p>
      <w:pPr>
        <w:spacing w:after="0"/>
      </w:pPr>
      <w:r>
        <w:br/>
      </w:r>
      <w:r>
        <w:rPr>
          <w:b/>
          <w:bCs/>
        </w:rPr>
        <w:t>Dostęp do dokumentów z postępowania jest ograniczony - więcej informacji można uzyskać pod adresem</w:t>
      </w:r>
    </w:p>
    <w:p>
      <w:pPr>
        <w:spacing w:after="0"/>
      </w:pPr>
      <w:r>
        <w:t>nie </w:t>
      </w:r>
    </w:p>
    <w:p>
      <w:pPr>
        <w:spacing w:after="0"/>
      </w:pPr>
      <w:r>
        <w:br/>
      </w:r>
      <w:r>
        <w:rPr>
          <w:b/>
          <w:bCs/>
        </w:rPr>
        <w:t>Oferty lub wnioski o dopuszczenie do udziału w postępowaniu należy przesyłać:</w:t>
      </w:r>
      <w:r>
        <w:br/>
      </w:r>
      <w:r>
        <w:rPr>
          <w:b/>
          <w:bCs/>
        </w:rPr>
        <w:t>Elektronicznie</w:t>
      </w:r>
    </w:p>
    <w:p>
      <w:pPr>
        <w:spacing w:after="0"/>
      </w:pPr>
      <w:r>
        <w:t>nie </w:t>
      </w:r>
      <w:r>
        <w:br/>
        <w:t>adres </w:t>
      </w:r>
    </w:p>
    <w:p>
      <w:pPr>
        <w:spacing w:after="0"/>
      </w:pPr>
    </w:p>
    <w:p>
      <w:pPr>
        <w:spacing w:after="0"/>
      </w:pPr>
      <w:r>
        <w:rPr>
          <w:b/>
          <w:bCs/>
        </w:rPr>
        <w:t>Dopuszczone jest przesłanie ofert lub wniosków o dopuszczenie do udziału w postępowaniu w inny sposób:</w:t>
      </w:r>
      <w:r>
        <w:br/>
        <w:t>nie </w:t>
      </w:r>
      <w:r>
        <w:br/>
      </w:r>
      <w:r>
        <w:rPr>
          <w:b/>
          <w:bCs/>
        </w:rPr>
        <w:t>Wymagane jest przesłanie ofert lub wniosków o dopuszczenie do udziału w postępowaniu w inny sposób:</w:t>
      </w:r>
      <w:r>
        <w:br/>
        <w:t>tak </w:t>
      </w:r>
      <w:r>
        <w:br/>
        <w:t>Inny sposób: </w:t>
      </w:r>
      <w:r>
        <w:br/>
        <w:t>pisemnie - wersja papierowa </w:t>
      </w:r>
      <w:r>
        <w:br/>
        <w:t>Adres: </w:t>
      </w:r>
      <w:r>
        <w:br/>
        <w:t>Zakład Gospodarki Komunalnej i Mieszkaniowej w Sieniawie ul. Augustowska 15 , 37-530 Sieniawa</w:t>
      </w:r>
    </w:p>
    <w:p>
      <w:pPr>
        <w:spacing w:after="0"/>
      </w:pPr>
      <w:r>
        <w:br/>
      </w:r>
      <w:r>
        <w:rPr>
          <w:b/>
          <w:bCs/>
        </w:rPr>
        <w:t>Komunikacja elektroniczna wymaga korzystania z narzędzi i urządzeń lub formatów plików, które nie są ogólnie dostępne</w:t>
      </w:r>
    </w:p>
    <w:p>
      <w:pPr>
        <w:spacing w:after="0"/>
      </w:pPr>
      <w:r>
        <w:t>nie </w:t>
      </w:r>
      <w:r>
        <w:br/>
        <w:t>Nieograniczony, pełny, bezpośredni i bezpłatny dostęp do tych narzędzi można uzyskać pod adresem: (URL) </w:t>
      </w:r>
    </w:p>
    <w:p>
      <w:pPr>
        <w:spacing w:after="0"/>
        <w:rPr>
          <w:b/>
          <w:bCs/>
        </w:rPr>
      </w:pPr>
      <w:r>
        <w:rPr>
          <w:b/>
          <w:bCs/>
          <w:u w:val="single"/>
        </w:rPr>
        <w:t>SEKCJA II: PRZEDMIOT ZAMÓWIENIA</w:t>
      </w:r>
    </w:p>
    <w:p>
      <w:pPr>
        <w:spacing w:after="0"/>
      </w:pPr>
      <w:r>
        <w:br/>
      </w:r>
      <w:r>
        <w:rPr>
          <w:b/>
          <w:bCs/>
        </w:rPr>
        <w:t>II.1) Nazwa nadana zamówieniu przez zamawiającego: </w:t>
      </w:r>
      <w:r>
        <w:t xml:space="preserve">Zakup paliw płynnych w 2017 roku, dokonywana bezpośrednio na stacji paliw dla </w:t>
      </w:r>
      <w:proofErr w:type="spellStart"/>
      <w:r>
        <w:t>ZGKiM</w:t>
      </w:r>
      <w:proofErr w:type="spellEnd"/>
      <w:r>
        <w:t xml:space="preserve"> Sieniawa </w:t>
      </w:r>
      <w:r>
        <w:br/>
      </w:r>
      <w:r>
        <w:rPr>
          <w:b/>
          <w:bCs/>
        </w:rPr>
        <w:lastRenderedPageBreak/>
        <w:t>Numer referencyjny: </w:t>
      </w:r>
      <w:proofErr w:type="spellStart"/>
      <w:r>
        <w:t>ZGKiM</w:t>
      </w:r>
      <w:proofErr w:type="spellEnd"/>
      <w:r>
        <w:t xml:space="preserve"> 271.1.2016</w:t>
      </w:r>
      <w:r>
        <w:br/>
      </w:r>
      <w:r>
        <w:rPr>
          <w:b/>
          <w:bCs/>
        </w:rPr>
        <w:t>Przed wszczęciem postępowania o udzielenie zamówienia przeprowadzono dialog techniczny </w:t>
      </w:r>
    </w:p>
    <w:p>
      <w:pPr>
        <w:spacing w:after="0"/>
      </w:pPr>
      <w:r>
        <w:t>nie</w:t>
      </w:r>
    </w:p>
    <w:p>
      <w:pPr>
        <w:spacing w:after="0"/>
      </w:pPr>
      <w:r>
        <w:br/>
      </w:r>
      <w:r>
        <w:rPr>
          <w:b/>
          <w:bCs/>
        </w:rPr>
        <w:t>II.2) Rodzaj zamówienia: </w:t>
      </w:r>
      <w:r>
        <w:t>dostawy </w:t>
      </w:r>
      <w:r>
        <w:br/>
      </w:r>
      <w:r>
        <w:rPr>
          <w:b/>
          <w:bCs/>
        </w:rPr>
        <w:t>II.3) Informacja o możliwości składania ofert częściowych</w:t>
      </w:r>
      <w:r>
        <w:br/>
        <w:t>Zamówienie podzielone jest na części: </w:t>
      </w:r>
    </w:p>
    <w:p>
      <w:pPr>
        <w:spacing w:after="0"/>
      </w:pPr>
      <w:r>
        <w:t>Nie</w:t>
      </w:r>
    </w:p>
    <w:p>
      <w:pPr>
        <w:spacing w:after="0"/>
      </w:pPr>
      <w:r>
        <w:br/>
      </w:r>
      <w:r>
        <w:br/>
      </w:r>
      <w:r>
        <w:rPr>
          <w:b/>
          <w:bCs/>
        </w:rPr>
        <w:t>II.4) Krótki opis przedmiotu zamówienia </w:t>
      </w:r>
      <w:r>
        <w:rPr>
          <w:i/>
          <w:iCs/>
        </w:rPr>
        <w:t>(wielkość, zakres, rodzaj i ilość dostaw, usług lub robót budowlanych lub określenie zapotrzebowania i wymagań )</w:t>
      </w:r>
      <w:r>
        <w:rPr>
          <w:b/>
          <w:bCs/>
        </w:rPr>
        <w:t> a w przypadku partnerstwa innowacyjnego - określenie zapotrzebowania na innowacyjny produkt, usługę lub roboty budowlane: </w:t>
      </w:r>
      <w:r>
        <w:t xml:space="preserve">Nazwa zamówienia : „Zakup paliw płynnych w 2017 roku, dokonywana bezpośrednio na stacji paliwa dla </w:t>
      </w:r>
      <w:proofErr w:type="spellStart"/>
      <w:r>
        <w:t>ZGKiM</w:t>
      </w:r>
      <w:proofErr w:type="spellEnd"/>
      <w:r>
        <w:t xml:space="preserve"> Sieniawa .” 1. Przedmiotem zamówienia Zakup paliw płynnych w 2017 roku, dokonywana bezpośrednio na stacji paliw: -oleju napędowego w ilości do 40 000 litrów, -benzyny bezołowiowej PB 95 w ilości do 1 000 litrów, - gaz LPG w ilości 3 000 litrów. Jest to zakup w formie bezgotówkowej do zbiorników pojazdów służbowych i pojemników (kanistrów) dostarczonych przez Zamawiającego 2. Zamawiający wymaga, aby Wykonawca musi dysponować minimum jedną stacją paliw zapewniającą możliwość całodobowego tankowania paliw będących przedmiotem zamówienia zlokalizowaną w odległości do 5 km od siedziby Zamawiającego. Zamawiający, w sytuacji ewentualnej modernizacji lub wyłączenia ze sprzedaży stacji wskazanej w ofercie, dopuszcza realizowanie przedmiotu zamówienia w innej stacji, pod warunkiem że ta znajduje się w odrąbie 25 km , jednak w okresie nie dłuższym niż 48 godzin. Wykonawca może wskazać inną konkretną stację w sytuacji ewentualnej modernizacji lub wyłączenia ze sprzedaży stacji wskazanej w ofercie, dopuszcza realizowanie przedmiotu zamówienia w innej stacji, pod warunkiem, że ta znajduje się w </w:t>
      </w:r>
      <w:proofErr w:type="spellStart"/>
      <w:r>
        <w:t>odrębie</w:t>
      </w:r>
      <w:proofErr w:type="spellEnd"/>
      <w:r>
        <w:t xml:space="preserve"> 25 km , jednak w okresie nie dłuższym niż 48 godzi. 3. Zamawiający przedłoży Wykonawcy wykaz pojazdów wraz z numerami rejestracyjnymi do których będzie tankowane paliwo. 4. Wykonawca będzie prowadził ewidencję zakupionego paliwa dla każdego z pojazdów Zamawiającego. 5. Częstotliwość tankowania odbywać się będzie sukcesywnie, w zależności od potrzeb Zamawiającego. 6. Podane powyżej ilości są szacunkowe. Zamawiający zastrzega sobie prawo do nie zakupienia paliwa w ilościach podanych w okresie obowiązywania umowy. W takim przypadku Wykonawca nie będzie żądał realizacji pozostałej ilości oraz odszkodowania. Rozliczenia pomiędzy Wykonawcą a Zamawiającym dokonywane będą na podstawie faktycznie zakupionych przez Zamawiającego ilości. 7. Wykonawca ponosi pełną odpowiedzialność za jakość sprzedanego paliwa, pod restrykcją nałożenia kar umownych oraz kosztów naprawy uszkodzeń sprzętu i pojazdów będących następstwem stosowania przez Wykonawcę niewłaściwego paliwa, niezgodnego z wymaganiami określonymi w Rozporządzeniu Ministra Gospodarki z 9 października 2015 roku w sprawie wymagań jakościowych dla paliw ciekłych (Dz. U. 2015, poz. 1680). 8. Wykonawca zobowiązany jest udostępnić do wglądu na żądanie Zamawiającego świadectwo jakości na daną partię paliwa. 9. Zamówienie będzie realizowane na zasadach określonych w niniejszej SIWZ oraz wzorze umowy (załącznik do SIWZ). 10. Zamawiający dopuszcza możliwość zakupu gotówkowego. Zakupy gotówkowe będą rozliczane w zakresie zamawiającego bez łączenia bezgotówkowych zakupów paliw przy użyciu kart paliwowych. 11. Wykonawca gwarantuje, że cena paliw dla Zamawiającego nie będzie wyższa od ceny paliw dla odbiorcy detalicznego 12. Nazwy i kody dotyczące przedmiotu zamówienia określone we Wspólnym Słowniku Zamówień Publicznych (CPV): 09134100-8 olej napędowy, 09132100-4 benzyna bezołowiowa , 09133000-0 skraplany gaz ropopochodny (LPG) </w:t>
      </w:r>
      <w:r>
        <w:br/>
      </w:r>
      <w:r>
        <w:br/>
      </w:r>
      <w:r>
        <w:rPr>
          <w:b/>
          <w:bCs/>
        </w:rPr>
        <w:lastRenderedPageBreak/>
        <w:t>II.5) Główny kod CPV: </w:t>
      </w:r>
      <w:r>
        <w:t>09100000-0</w:t>
      </w:r>
      <w:r>
        <w:br/>
      </w:r>
      <w:r>
        <w:rPr>
          <w:b/>
          <w:bCs/>
        </w:rPr>
        <w:t>Dodatkowe kody CPV:</w:t>
      </w:r>
      <w:r>
        <w:t>09134100-8, 09132100-4, 09133000-0</w:t>
      </w:r>
      <w:r>
        <w:br/>
      </w:r>
      <w:r>
        <w:rPr>
          <w:b/>
          <w:bCs/>
        </w:rPr>
        <w:t>II.6) Całkowita wartość zamówienia </w:t>
      </w:r>
      <w:r>
        <w:rPr>
          <w:i/>
          <w:iCs/>
        </w:rPr>
        <w:t>(jeżeli zamawiający podaje informacje o wartości zamówienia)</w:t>
      </w:r>
      <w:r>
        <w:t>: </w:t>
      </w:r>
      <w:r>
        <w:br/>
        <w:t>Wartość bez VAT: </w:t>
      </w:r>
      <w:r>
        <w:br/>
        <w:t>Waluta: </w:t>
      </w:r>
    </w:p>
    <w:p>
      <w:pPr>
        <w:spacing w:after="0"/>
      </w:pPr>
      <w:r>
        <w:br/>
      </w:r>
      <w:r>
        <w:rPr>
          <w:i/>
          <w:iCs/>
        </w:rPr>
        <w:t>(w przypadku umów ramowych lub dynamicznego systemu zakupów – szacunkowa całkowita maksymalna wartość w całym okresie obowiązywania umowy ramowej lub dynamicznego systemu zakupów)</w:t>
      </w:r>
    </w:p>
    <w:p>
      <w:pPr>
        <w:spacing w:after="0"/>
      </w:pPr>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w:t>
      </w:r>
      <w:r>
        <w:t>nie </w:t>
      </w:r>
      <w:r>
        <w:br/>
      </w:r>
      <w:r>
        <w:rPr>
          <w:b/>
          <w:bCs/>
        </w:rPr>
        <w:t>II.8) Okres, w którym realizowane będzie zamówienie lub okres, na który została zawarta umowa ramowa lub okres, na który został ustanowiony dynamiczny system zakupów:</w:t>
      </w:r>
    </w:p>
    <w:p>
      <w:pPr>
        <w:spacing w:after="0"/>
      </w:pPr>
      <w:r>
        <w:t>data zakończenia: 31/12/2017</w:t>
      </w:r>
    </w:p>
    <w:p>
      <w:pPr>
        <w:spacing w:after="0"/>
      </w:pPr>
      <w:r>
        <w:br/>
      </w:r>
      <w:r>
        <w:rPr>
          <w:b/>
          <w:bCs/>
        </w:rPr>
        <w:t>II.9) Informacje dodatkowe:</w:t>
      </w:r>
    </w:p>
    <w:p>
      <w:pPr>
        <w:spacing w:after="0"/>
        <w:rPr>
          <w:b/>
          <w:bCs/>
        </w:rPr>
      </w:pPr>
      <w:r>
        <w:rPr>
          <w:b/>
          <w:bCs/>
          <w:u w:val="single"/>
        </w:rPr>
        <w:t>SEKCJA III: INFORMACJE O CHARAKTERZE PRAWNYM, EKONOMICZNYM, FINANSOWYM I TECHNICZNYM</w:t>
      </w:r>
    </w:p>
    <w:p>
      <w:pPr>
        <w:spacing w:after="0"/>
      </w:pPr>
      <w:r>
        <w:rPr>
          <w:b/>
          <w:bCs/>
        </w:rPr>
        <w:t>III.1) WARUNKI UDZIAŁU W POSTĘPOWANIU </w:t>
      </w:r>
    </w:p>
    <w:p>
      <w:pPr>
        <w:spacing w:after="0"/>
      </w:pPr>
      <w:r>
        <w:rPr>
          <w:b/>
          <w:bCs/>
        </w:rPr>
        <w:t>III.1.1) Kompetencje lub uprawnienia do prowadzenia określonej działalności zawodowej, o ile wynika to z odrębnych przepisów</w:t>
      </w:r>
      <w:r>
        <w:br/>
        <w:t>Określenie warunków: Zamawiający uzna warunek za spełniony, jeżeli wykonawca posiada koncesję na prowadzenie działalności gospodarczej w zakresie obrotu paliwami ciekłymi</w:t>
      </w:r>
      <w:r>
        <w:br/>
        <w:t>Informacje dodatkowe </w:t>
      </w:r>
      <w:r>
        <w:br/>
      </w:r>
      <w:r>
        <w:rPr>
          <w:b/>
          <w:bCs/>
        </w:rPr>
        <w:t>III.1.2) Sytuacja finansowa lub ekonomiczna </w:t>
      </w:r>
      <w:r>
        <w:br/>
        <w:t>Określenie warunków: </w:t>
      </w:r>
      <w:r>
        <w:br/>
        <w:t>Informacje dodatkowe </w:t>
      </w:r>
      <w:r>
        <w:br/>
      </w:r>
      <w:r>
        <w:rPr>
          <w:b/>
          <w:bCs/>
        </w:rPr>
        <w:t>III.1.3) Zdolność techniczna lub zawodowa </w:t>
      </w:r>
      <w:r>
        <w:br/>
        <w:t>Określenie warunków: Zamawiający uzna warunek za spełniony, jeżeli dysponuje minimum jedną stacją paliw zapewniającą możliwość całodobowego tankowania paliw będących przedmiotem zamówienia zlokalizowaną w odległości do 5 km od siedziby Zamawiającego</w:t>
      </w:r>
      <w: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Informacje dodatkowe:</w:t>
      </w:r>
    </w:p>
    <w:p>
      <w:pPr>
        <w:spacing w:after="0"/>
      </w:pPr>
      <w:r>
        <w:rPr>
          <w:b/>
          <w:bCs/>
        </w:rPr>
        <w:t>III.2) PODSTAWY WYKLUCZENIA </w:t>
      </w:r>
    </w:p>
    <w:p>
      <w:pPr>
        <w:spacing w:after="0"/>
      </w:pPr>
      <w:r>
        <w:rPr>
          <w:b/>
          <w:bCs/>
        </w:rPr>
        <w:t xml:space="preserve">III.2.1) Podstawy wykluczenia określone w art. 24 ust. 1 ustawy </w:t>
      </w:r>
      <w:proofErr w:type="spellStart"/>
      <w:r>
        <w:rPr>
          <w:b/>
          <w:bCs/>
        </w:rPr>
        <w:t>Pzp</w:t>
      </w:r>
      <w:proofErr w:type="spellEnd"/>
      <w:r>
        <w:br/>
      </w:r>
      <w:r>
        <w:rPr>
          <w:b/>
          <w:bCs/>
        </w:rPr>
        <w:t xml:space="preserve">III.2.2) Zamawiający przewiduje wykluczenie wykonawcy na podstawie art. 24 ust. 5 ustawy </w:t>
      </w:r>
      <w:proofErr w:type="spellStart"/>
      <w:r>
        <w:rPr>
          <w:b/>
          <w:bCs/>
        </w:rPr>
        <w:t>Pzp</w:t>
      </w:r>
      <w:proofErr w:type="spellEnd"/>
      <w:r>
        <w:t> nie </w:t>
      </w:r>
    </w:p>
    <w:p>
      <w:pPr>
        <w:spacing w:after="0"/>
      </w:pPr>
      <w:r>
        <w:rPr>
          <w:b/>
          <w:bCs/>
        </w:rPr>
        <w:t>III.3) WYKAZ OŚWIADCZEŃ SKŁADANYCH PRZEZ WYKONAWCĘ W CELU WSTĘPNEGO POTWIERDZENIA, ŻE NIE PODLEGA ON WYKLUCZENIU ORAZ SPEŁNIA WARUNKI UDZIAŁU W POSTĘPOWANIU ORAZ SPEŁNIA KRYTERIA SELEKCJI </w:t>
      </w:r>
    </w:p>
    <w:p>
      <w:pPr>
        <w:spacing w:after="0"/>
      </w:pPr>
      <w:r>
        <w:rPr>
          <w:b/>
          <w:bCs/>
        </w:rPr>
        <w:t>Oświadczenie o niepodleganiu wykluczeniu oraz spełnianiu warunków udziału w postępowaniu </w:t>
      </w:r>
      <w:r>
        <w:br/>
        <w:t>tak </w:t>
      </w:r>
      <w:r>
        <w:br/>
      </w:r>
      <w:r>
        <w:rPr>
          <w:b/>
          <w:bCs/>
        </w:rPr>
        <w:t>Oświadczenie o spełnianiu kryteriów selekcji </w:t>
      </w:r>
      <w:r>
        <w:br/>
        <w:t>nie</w:t>
      </w:r>
    </w:p>
    <w:p>
      <w:pPr>
        <w:spacing w:after="0"/>
      </w:pPr>
      <w:r>
        <w:rPr>
          <w:b/>
          <w:bCs/>
        </w:rPr>
        <w:lastRenderedPageBreak/>
        <w:t>III.4) WYKAZ OŚWIADCZEŃ LUB DOKUMENTÓW , SKŁADANYCH PRZEZ WYKONAWCĘ W POSTĘPOWANIU NA WEZWANIE ZAMAWIAJACEGO W CELU POTWIERDZENIA OKOLICZNOŚCI, O KTÓRYCH MOWA W ART. 25 UST. 1 PKT 3 USTAWY PZP: </w:t>
      </w:r>
    </w:p>
    <w:p>
      <w:pPr>
        <w:spacing w:after="0"/>
      </w:pPr>
      <w:r>
        <w:t>oświadczenie o braku podstaw do wykluczenia - wg wzoru na załączniku nr 1.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pPr>
        <w:spacing w:after="0"/>
      </w:pPr>
      <w:r>
        <w:rPr>
          <w:b/>
          <w:bCs/>
        </w:rPr>
        <w:t>III.5) WYKAZ OŚWIADCZEŃ LUB DOKUMENTÓW SKŁADANYCH PRZEZ WYKONAWCĘ W POSTĘPOWANIU NA WEZWANIE ZAMAWIAJACEGO W CELU POTWIERDZENIA OKOLICZNOŚCI, O KTÓRYCH MOWA W ART. 25 UST. 1 PKT 1 USTAWY PZP </w:t>
      </w:r>
    </w:p>
    <w:p>
      <w:pPr>
        <w:spacing w:after="0"/>
      </w:pPr>
      <w:r>
        <w:rPr>
          <w:b/>
          <w:bCs/>
        </w:rPr>
        <w:t>III.5.1) W ZAKRESIE SPEŁNIANIA WARUNKÓW UDZIAŁU W POSTĘPOWANIU:</w:t>
      </w:r>
      <w:r>
        <w:br/>
        <w:t xml:space="preserve">oświadczenie o spełnianiu warunków udziału w postępowaniu - wg wzoru na załączniku nr 2. Koncesję na obrót paliwami ciekłymi wydaną przez prezesa Urzędu Regulacji Energetyki, Wykaz stacji zlokalizowanych na terenie Gminy Sieniawa z podaniem ich adresów, pod którymi zamawiający będzie dokonywał tankowania wraz z informacją o podstawie do dysponowania. Wykaz musi potwierdzać spełnienie warunku, o którym mowa w rozdz. V pkt 1 </w:t>
      </w:r>
      <w:proofErr w:type="spellStart"/>
      <w:r>
        <w:t>ppkt</w:t>
      </w:r>
      <w:proofErr w:type="spellEnd"/>
      <w:r>
        <w:t xml:space="preserve"> c. - wg wzoru na załączniku nr 5. </w:t>
      </w:r>
      <w:r>
        <w:br/>
      </w:r>
      <w:r>
        <w:rPr>
          <w:b/>
          <w:bCs/>
        </w:rPr>
        <w:t>III.5.2) W ZAKRESIE KRYTERIÓW SELEKCJI:</w:t>
      </w:r>
    </w:p>
    <w:p>
      <w:pPr>
        <w:spacing w:after="0"/>
      </w:pPr>
      <w:r>
        <w:rPr>
          <w:b/>
          <w:bCs/>
        </w:rPr>
        <w:t>III.6) WYKAZ OŚWIADCZEŃ LUB DOKUMENTÓW SKŁADANYCH PRZEZ WYKONAWCĘ W POSTĘPOWANIU NA WEZWANIE ZAMAWIAJACEGO W CELU POTWIERDZENIA OKOLICZNOŚCI, O KTÓRYCH MOWA W ART. 25 UST. 1 PKT 2 USTAWY PZP </w:t>
      </w:r>
    </w:p>
    <w:p>
      <w:pPr>
        <w:spacing w:after="0"/>
      </w:pPr>
      <w:r>
        <w:rPr>
          <w:b/>
          <w:bCs/>
        </w:rPr>
        <w:t>III.7) INNE DOKUMENTY NIE WYMIENIONE W pkt III.3) - III.6)</w:t>
      </w:r>
    </w:p>
    <w:p>
      <w:pPr>
        <w:spacing w:after="0"/>
      </w:pPr>
      <w:r>
        <w:t>formularz cenowy – załącznik nr 6, ewentualne pełnomocnictwa, w przypadku Wykonawców wspólnie ubiegających się o zamówienie wykonawcy ci zobowiązani są do ustanowienia pełnomocnika do reprezentowania ich w postępowaniu o udzielenie zamówienia albo reprezentowania w postępowaniu i zawarcia umowy w sprawie zamówienia publicznego, zobowiązanie podmiotu trzeciego – wg wzoru na załączniku nr 4. jeśli dotyczy</w:t>
      </w:r>
    </w:p>
    <w:p>
      <w:pPr>
        <w:spacing w:after="0"/>
        <w:rPr>
          <w:b/>
          <w:bCs/>
        </w:rPr>
      </w:pPr>
      <w:r>
        <w:rPr>
          <w:b/>
          <w:bCs/>
          <w:u w:val="single"/>
        </w:rPr>
        <w:t>SEKCJA IV: PROCEDURA</w:t>
      </w:r>
    </w:p>
    <w:p>
      <w:pPr>
        <w:spacing w:after="0"/>
      </w:pPr>
      <w:r>
        <w:rPr>
          <w:b/>
          <w:bCs/>
        </w:rPr>
        <w:t>IV.1) OPIS </w:t>
      </w:r>
      <w:r>
        <w:br/>
      </w:r>
      <w:r>
        <w:rPr>
          <w:b/>
          <w:bCs/>
        </w:rPr>
        <w:t>IV.1.1) Tryb udzielenia zamówienia: </w:t>
      </w:r>
      <w:r>
        <w:t>przetarg nieograniczony </w:t>
      </w:r>
      <w:r>
        <w:br/>
      </w:r>
      <w:r>
        <w:rPr>
          <w:b/>
          <w:bCs/>
        </w:rPr>
        <w:t>IV.1.2) Zamawiający żąda wniesienia wadium:</w:t>
      </w:r>
    </w:p>
    <w:p>
      <w:pPr>
        <w:spacing w:after="0"/>
      </w:pPr>
      <w:r>
        <w:t>nie</w:t>
      </w:r>
    </w:p>
    <w:p>
      <w:pPr>
        <w:spacing w:after="0"/>
      </w:pPr>
      <w:r>
        <w:br/>
      </w:r>
      <w:r>
        <w:rPr>
          <w:b/>
          <w:bCs/>
        </w:rPr>
        <w:t>IV.1.3) Przewiduje się udzielenie zaliczek na poczet wykonania zamówienia:</w:t>
      </w:r>
    </w:p>
    <w:p>
      <w:pPr>
        <w:spacing w:after="0"/>
      </w:pPr>
      <w:r>
        <w:t>nie</w:t>
      </w:r>
    </w:p>
    <w:p>
      <w:pPr>
        <w:spacing w:after="0"/>
      </w:pPr>
      <w:r>
        <w:br/>
      </w:r>
      <w:r>
        <w:rPr>
          <w:b/>
          <w:bCs/>
        </w:rPr>
        <w:t>IV.1.4) Wymaga się złożenia ofert w postaci katalogów elektronicznych lub dołączenia do ofert katalogów elektronicznych:</w:t>
      </w:r>
    </w:p>
    <w:p>
      <w:pPr>
        <w:spacing w:after="0"/>
      </w:pPr>
      <w:r>
        <w:t>nie </w:t>
      </w:r>
      <w:r>
        <w:br/>
        <w:t>Dopuszcza się złożenie ofert w postaci katalogów elektronicznych lub dołączenia do ofert katalogów elektronicznych: </w:t>
      </w:r>
      <w:r>
        <w:br/>
        <w:t>nie </w:t>
      </w:r>
      <w:r>
        <w:br/>
        <w:t>Informacje dodatkowe: </w:t>
      </w:r>
    </w:p>
    <w:p>
      <w:pPr>
        <w:spacing w:after="0"/>
      </w:pPr>
      <w:r>
        <w:br/>
      </w:r>
      <w:r>
        <w:rPr>
          <w:b/>
          <w:bCs/>
        </w:rPr>
        <w:t>IV.1.5.) Wymaga się złożenia oferty wariantowej:</w:t>
      </w:r>
    </w:p>
    <w:p>
      <w:pPr>
        <w:spacing w:after="0"/>
      </w:pPr>
      <w:r>
        <w:t>nie </w:t>
      </w:r>
      <w:r>
        <w:br/>
        <w:t>Dopuszcza się złożenie oferty wariantowej </w:t>
      </w:r>
      <w:r>
        <w:br/>
      </w:r>
      <w:r>
        <w:lastRenderedPageBreak/>
        <w:t>nie </w:t>
      </w:r>
      <w:r>
        <w:br/>
        <w:t>Złożenie oferty wariantowej dopuszcza się tylko z jednoczesnym złożeniem oferty zasadniczej: </w:t>
      </w:r>
      <w:r>
        <w:br/>
        <w:t>nie</w:t>
      </w:r>
    </w:p>
    <w:p>
      <w:pPr>
        <w:spacing w:after="0"/>
      </w:pPr>
      <w:r>
        <w:br/>
      </w:r>
      <w:r>
        <w:rPr>
          <w:b/>
          <w:bCs/>
        </w:rPr>
        <w:t>IV.1.6) Przewidywana liczba wykonawców, którzy zostaną zaproszeni do udziału w postępowaniu </w:t>
      </w:r>
      <w:r>
        <w:br/>
      </w:r>
      <w:r>
        <w:rPr>
          <w:i/>
          <w:iCs/>
        </w:rPr>
        <w:t>(przetarg ograniczony, negocjacje z ogłoszeniem, dialog konkurencyjny, partnerstwo innowacyjne)</w:t>
      </w:r>
    </w:p>
    <w:p>
      <w:pPr>
        <w:spacing w:after="0"/>
      </w:pPr>
      <w:r>
        <w:t>Liczba wykonawców  </w:t>
      </w:r>
      <w:r>
        <w:br/>
        <w:t>Przewidywana minimalna liczba wykonawców </w:t>
      </w:r>
      <w:r>
        <w:br/>
        <w:t>Maksymalna liczba wykonawców  </w:t>
      </w:r>
      <w:r>
        <w:br/>
        <w:t>Kryteria selekcji wykonawców: </w:t>
      </w:r>
    </w:p>
    <w:p>
      <w:pPr>
        <w:spacing w:after="0"/>
      </w:pPr>
      <w:r>
        <w:br/>
      </w:r>
      <w:r>
        <w:rPr>
          <w:b/>
          <w:bCs/>
        </w:rPr>
        <w:t>IV.1.7) Informacje na temat umowy ramowej lub dynamicznego systemu zakupów:</w:t>
      </w:r>
    </w:p>
    <w:p>
      <w:pPr>
        <w:spacing w:after="0"/>
      </w:pPr>
      <w:r>
        <w:t>Umowa ramowa będzie zawarta: </w:t>
      </w:r>
      <w:r>
        <w:br/>
      </w:r>
      <w:r>
        <w:br/>
        <w:t>Czy przewiduje się ograniczenie liczby uczestników umowy ramowej: </w:t>
      </w:r>
      <w:r>
        <w:br/>
        <w:t>nie </w:t>
      </w:r>
      <w:r>
        <w:br/>
        <w:t>Informacje dodatkowe: </w:t>
      </w:r>
      <w:r>
        <w:br/>
      </w:r>
      <w:r>
        <w:br/>
        <w:t>Zamówienie obejmuje ustanowienie dynamicznego systemu zakupów: </w:t>
      </w:r>
      <w:r>
        <w:br/>
        <w:t>nie </w:t>
      </w:r>
      <w:r>
        <w:br/>
        <w:t>Informacje dodatkowe: </w:t>
      </w:r>
      <w:r>
        <w:br/>
      </w:r>
      <w:r>
        <w:br/>
        <w:t>W ramach umowy ramowej/dynamicznego systemu zakupów dopuszcza się złożenie ofert w formie katalogów elektronicznych: </w:t>
      </w:r>
      <w:r>
        <w:br/>
        <w:t>nie </w:t>
      </w:r>
      <w:r>
        <w:br/>
        <w:t>Przewiduje się pobranie ze złożonych katalogów elektronicznych informacji potrzebnych do sporządzenia ofert w ramach umowy ramowej/dynamicznego systemu zakupów: </w:t>
      </w:r>
      <w:r>
        <w:br/>
        <w:t>nie</w:t>
      </w:r>
    </w:p>
    <w:p>
      <w:pPr>
        <w:spacing w:after="0"/>
      </w:pPr>
      <w:r>
        <w:br/>
      </w:r>
      <w:r>
        <w:rPr>
          <w:b/>
          <w:bCs/>
        </w:rPr>
        <w:t>IV.1.8) Aukcja elektroniczna </w:t>
      </w:r>
      <w:r>
        <w:br/>
      </w:r>
      <w:r>
        <w:rPr>
          <w:b/>
          <w:bCs/>
        </w:rPr>
        <w:t>Przewidziane jest przeprowadzenie aukcji elektronicznej </w:t>
      </w:r>
      <w:r>
        <w:rPr>
          <w:i/>
          <w:iCs/>
        </w:rPr>
        <w:t>(przetarg nieograniczony, przetarg ograniczony, negocjacje z ogłoszeniem) </w:t>
      </w:r>
      <w:r>
        <w:t>nie </w:t>
      </w:r>
      <w:r>
        <w:br/>
      </w:r>
      <w:r>
        <w:rPr>
          <w:b/>
          <w:bCs/>
        </w:rPr>
        <w:t>Należy wskazać elementy, których wartości będą przedmiotem aukcji elektronicznej: </w:t>
      </w:r>
      <w:r>
        <w:br/>
      </w:r>
      <w:r>
        <w:rPr>
          <w:b/>
          <w:bCs/>
        </w:rPr>
        <w:t>Przewiduje się ograniczenia co do przedstawionych wartości, wynikające z opisu przedmiotu zamówienia:</w:t>
      </w:r>
      <w:r>
        <w:br/>
        <w:t>nie </w:t>
      </w:r>
      <w:r>
        <w:br/>
        <w:t>Należy podać, które informacje zostaną udostępnione wykonawcom w trakcie aukcji elektronicznej oraz jaki będzie termin ich udostępnienia: </w:t>
      </w:r>
      <w:r>
        <w:br/>
        <w:t>Informacje dotyczące przebiegu aukcji elektronicznej: </w:t>
      </w:r>
      <w:r>
        <w:br/>
        <w:t>Jaki jest przewidziany sposób postępowania w toku aukcji elektronicznej i jakie będą warunki, na jakich wykonawcy będą mogli licytować (minimalne wysokości postąpień): </w:t>
      </w:r>
      <w:r>
        <w:br/>
        <w:t>Informacje dotyczące wykorzystywanego sprzętu elektronicznego, rozwiązań i specyfikacji technicznych w zakresie połączeń: </w:t>
      </w:r>
      <w:r>
        <w:br/>
        <w:t>Wymagania dotyczące rejestracji i identyfikacji wykonawców w aukcji elektronicznej: </w:t>
      </w:r>
      <w:r>
        <w:br/>
        <w:t>Informacje o liczbie etapów aukcji elektronicznej i czasie ich trwania:</w:t>
      </w:r>
    </w:p>
    <w:p>
      <w:pPr>
        <w:spacing w:after="0"/>
      </w:pPr>
      <w: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trPr>
          <w:tblCellSpacing w:w="15" w:type="dxa"/>
        </w:trPr>
        <w:tc>
          <w:tcPr>
            <w:tcW w:w="0" w:type="auto"/>
            <w:vAlign w:val="center"/>
            <w:hideMark/>
          </w:tcPr>
          <w:p>
            <w:pPr>
              <w:spacing w:after="0"/>
            </w:pPr>
            <w:r>
              <w:t>etap nr</w:t>
            </w:r>
          </w:p>
        </w:tc>
        <w:tc>
          <w:tcPr>
            <w:tcW w:w="0" w:type="auto"/>
            <w:vAlign w:val="center"/>
            <w:hideMark/>
          </w:tcPr>
          <w:p>
            <w:pPr>
              <w:spacing w:after="0"/>
            </w:pPr>
            <w:r>
              <w:t>czas trwania etapu</w:t>
            </w:r>
          </w:p>
        </w:tc>
      </w:tr>
      <w:tr>
        <w:trPr>
          <w:tblCellSpacing w:w="15" w:type="dxa"/>
        </w:trPr>
        <w:tc>
          <w:tcPr>
            <w:tcW w:w="0" w:type="auto"/>
            <w:vAlign w:val="center"/>
            <w:hideMark/>
          </w:tcPr>
          <w:p>
            <w:pPr>
              <w:spacing w:after="0"/>
            </w:pPr>
          </w:p>
        </w:tc>
        <w:tc>
          <w:tcPr>
            <w:tcW w:w="0" w:type="auto"/>
            <w:vAlign w:val="center"/>
            <w:hideMark/>
          </w:tcPr>
          <w:p>
            <w:pPr>
              <w:spacing w:after="0"/>
            </w:pPr>
          </w:p>
        </w:tc>
      </w:tr>
    </w:tbl>
    <w:p>
      <w:pPr>
        <w:spacing w:after="0"/>
      </w:pPr>
      <w:r>
        <w:lastRenderedPageBreak/>
        <w:br/>
        <w:t>Czy wykonawcy, którzy nie złożyli nowych postąpień, zostaną zakwalifikowani do następnego etapu: nie </w:t>
      </w:r>
      <w:r>
        <w:br/>
        <w:t>Warunki zamknięcia aukcji elektronicznej: </w:t>
      </w:r>
    </w:p>
    <w:p>
      <w:pPr>
        <w:spacing w:after="0"/>
      </w:pPr>
      <w:r>
        <w:br/>
      </w:r>
      <w:r>
        <w:rPr>
          <w:b/>
          <w:bCs/>
        </w:rPr>
        <w:t>IV.2) KRYTERIA OCENY OFERT </w:t>
      </w:r>
      <w:r>
        <w:br/>
      </w:r>
      <w:r>
        <w:rPr>
          <w:b/>
          <w:bCs/>
        </w:rPr>
        <w:t>IV.2.1) Kryteria oceny ofert: </w:t>
      </w:r>
      <w:r>
        <w:br/>
      </w:r>
      <w:r>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957"/>
      </w:tblGrid>
      <w:tr>
        <w:trPr>
          <w:tblCellSpacing w:w="15" w:type="dxa"/>
        </w:trPr>
        <w:tc>
          <w:tcPr>
            <w:tcW w:w="0" w:type="auto"/>
            <w:vAlign w:val="center"/>
            <w:hideMark/>
          </w:tcPr>
          <w:p>
            <w:pPr>
              <w:spacing w:after="0"/>
            </w:pPr>
            <w:r>
              <w:rPr>
                <w:i/>
                <w:iCs/>
              </w:rPr>
              <w:t>Kryteria</w:t>
            </w:r>
          </w:p>
        </w:tc>
        <w:tc>
          <w:tcPr>
            <w:tcW w:w="0" w:type="auto"/>
            <w:vAlign w:val="center"/>
            <w:hideMark/>
          </w:tcPr>
          <w:p>
            <w:pPr>
              <w:spacing w:after="0"/>
            </w:pPr>
            <w:r>
              <w:rPr>
                <w:i/>
                <w:iCs/>
              </w:rPr>
              <w:t>Znaczenie</w:t>
            </w:r>
          </w:p>
        </w:tc>
      </w:tr>
      <w:tr>
        <w:trPr>
          <w:tblCellSpacing w:w="15" w:type="dxa"/>
        </w:trPr>
        <w:tc>
          <w:tcPr>
            <w:tcW w:w="0" w:type="auto"/>
            <w:vAlign w:val="center"/>
            <w:hideMark/>
          </w:tcPr>
          <w:p>
            <w:pPr>
              <w:spacing w:after="0"/>
            </w:pPr>
            <w:r>
              <w:t>cena</w:t>
            </w:r>
          </w:p>
        </w:tc>
        <w:tc>
          <w:tcPr>
            <w:tcW w:w="0" w:type="auto"/>
            <w:vAlign w:val="center"/>
            <w:hideMark/>
          </w:tcPr>
          <w:p>
            <w:pPr>
              <w:spacing w:after="0"/>
            </w:pPr>
            <w:r>
              <w:t>100</w:t>
            </w:r>
          </w:p>
        </w:tc>
      </w:tr>
    </w:tbl>
    <w:p>
      <w:pPr>
        <w:spacing w:after="0"/>
      </w:pPr>
      <w:r>
        <w:br/>
      </w:r>
      <w:r>
        <w:rPr>
          <w:b/>
          <w:bCs/>
        </w:rPr>
        <w:t xml:space="preserve">IV.2.3) Zastosowanie procedury, o której mowa w art. 24aa ust. 1 ustawy </w:t>
      </w:r>
      <w:proofErr w:type="spellStart"/>
      <w:r>
        <w:rPr>
          <w:b/>
          <w:bCs/>
        </w:rPr>
        <w:t>Pzp</w:t>
      </w:r>
      <w:proofErr w:type="spellEnd"/>
      <w:r>
        <w:rPr>
          <w:b/>
          <w:bCs/>
        </w:rPr>
        <w:t> </w:t>
      </w:r>
      <w:r>
        <w:t>(przetarg nieograniczony) </w:t>
      </w:r>
      <w:r>
        <w:br/>
        <w:t>tak </w:t>
      </w:r>
      <w:r>
        <w:br/>
      </w:r>
      <w:r>
        <w:rPr>
          <w:b/>
          <w:bCs/>
        </w:rPr>
        <w:t>IV.3) Negocjacje z ogłoszeniem, dialog konkurencyjny, partnerstwo innowacyjne </w:t>
      </w:r>
      <w:r>
        <w:br/>
      </w:r>
      <w:r>
        <w:rPr>
          <w:b/>
          <w:bCs/>
        </w:rPr>
        <w:t>IV.3.1) Informacje na temat negocjacji z ogłoszeniem</w:t>
      </w:r>
      <w:r>
        <w:br/>
        <w:t>Minimalne wymagania, które muszą spełniać wszystkie oferty: </w:t>
      </w:r>
      <w:r>
        <w:br/>
      </w:r>
      <w:r>
        <w:br/>
        <w:t>Przewidziane jest zastrzeżenie prawa do udzielenia zamówienia na podstawie ofert wstępnych bez przeprowadzenia negocjacji nie </w:t>
      </w:r>
      <w:r>
        <w:br/>
        <w:t>Przewidziany jest podział negocjacji na etapy w celu ograniczenia liczby ofert: nie </w:t>
      </w:r>
      <w:r>
        <w:br/>
        <w:t>Należy podać informacje na temat etapów negocjacji (w tym liczbę etapów): </w:t>
      </w:r>
      <w:r>
        <w:br/>
      </w:r>
      <w:r>
        <w:br/>
        <w:t>Informacje dodatkowe </w:t>
      </w:r>
      <w:r>
        <w:br/>
      </w:r>
      <w:r>
        <w:br/>
      </w:r>
      <w:r>
        <w:br/>
      </w:r>
      <w:r>
        <w:rPr>
          <w:b/>
          <w:bCs/>
        </w:rPr>
        <w:t>IV.3.2) Informacje na temat dialogu konkurencyjnego</w:t>
      </w:r>
      <w:r>
        <w:br/>
        <w:t>Opis potrzeb i wymagań zamawiającego lub informacja o sposobie uzyskania tego opisu: </w:t>
      </w:r>
      <w:r>
        <w:br/>
      </w:r>
      <w:r>
        <w:br/>
        <w:t>Informacja o wysokości nagród dla wykonawców, którzy podczas dialogu konkurencyjnego przedstawili rozwiązania stanowiące podstawę do składania ofert, jeżeli zamawiający przewiduje nagrody: </w:t>
      </w:r>
      <w:r>
        <w:br/>
      </w:r>
      <w:r>
        <w:br/>
        <w:t>Wstępny harmonogram postępowania: </w:t>
      </w:r>
      <w:r>
        <w:br/>
      </w:r>
      <w:r>
        <w:br/>
        <w:t>Podział dialogu na etapy w celu ograniczenia liczby rozwiązań: nie </w:t>
      </w:r>
      <w:r>
        <w:br/>
        <w:t>Należy podać informacje na temat etapów dialogu: </w:t>
      </w:r>
      <w:r>
        <w:br/>
      </w:r>
      <w:r>
        <w:br/>
      </w:r>
      <w:r>
        <w:br/>
        <w:t>Informacje dodatkowe: </w:t>
      </w:r>
      <w:r>
        <w:br/>
      </w:r>
      <w:r>
        <w:br/>
      </w:r>
      <w:r>
        <w:rPr>
          <w:b/>
          <w:bCs/>
        </w:rPr>
        <w:t>IV.3.3) Informacje na temat partnerstwa innowacyjnego</w:t>
      </w:r>
      <w:r>
        <w:br/>
        <w:t>Elementy opisu przedmiotu zamówienia definiujące minimalne wymagania, którym muszą odpowiadać wszystkie oferty: </w:t>
      </w:r>
      <w:r>
        <w:br/>
      </w:r>
      <w:r>
        <w:br/>
        <w:t>Podział negocjacji na etapy w celu ograniczeniu liczby ofert podlegających negocjacjom poprzez zastosowanie kryteriów oceny ofert wskazanych w specyfikacji istotnych warunków zamówienia: </w:t>
      </w:r>
      <w:r>
        <w:br/>
      </w:r>
      <w:r>
        <w:lastRenderedPageBreak/>
        <w:t>nie </w:t>
      </w:r>
      <w:r>
        <w:br/>
        <w:t>Informacje dodatkowe: </w:t>
      </w:r>
      <w:r>
        <w:br/>
      </w:r>
      <w:r>
        <w:br/>
      </w:r>
      <w:r>
        <w:rPr>
          <w:b/>
          <w:bCs/>
        </w:rPr>
        <w:t>IV.4) Licytacja elektroniczna </w:t>
      </w:r>
      <w:r>
        <w:br/>
        <w:t>Adres strony internetowej, na której będzie prowadzona licytacja elektroniczna: </w:t>
      </w:r>
    </w:p>
    <w:p>
      <w:pPr>
        <w:spacing w:after="0"/>
      </w:pPr>
      <w:r>
        <w:t>Adres strony internetowej, na której jest dostępny opis przedmiotu zamówienia w licytacji elektronicznej: </w:t>
      </w:r>
    </w:p>
    <w:p>
      <w:pPr>
        <w:spacing w:after="0"/>
      </w:pPr>
      <w:r>
        <w:t>Wymagania dotyczące rejestracji i identyfikacji wykonawców w licytacji elektronicznej, w tym wymagania techniczne urządzeń informatycznych: </w:t>
      </w:r>
    </w:p>
    <w:p>
      <w:pPr>
        <w:spacing w:after="0"/>
      </w:pPr>
      <w:r>
        <w:t>Sposób postępowania w toku licytacji elektronicznej, w tym określenie minimalnych wysokości postąpień: </w:t>
      </w:r>
    </w:p>
    <w:p>
      <w:pPr>
        <w:spacing w:after="0"/>
      </w:pPr>
      <w:r>
        <w:t>Informacje o liczbie etapów licytacji elektronicznej i czasie ich trwania:</w:t>
      </w:r>
    </w:p>
    <w:p>
      <w:pPr>
        <w:spacing w:after="0"/>
      </w:pPr>
      <w: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trPr>
          <w:tblCellSpacing w:w="15" w:type="dxa"/>
        </w:trPr>
        <w:tc>
          <w:tcPr>
            <w:tcW w:w="0" w:type="auto"/>
            <w:vAlign w:val="center"/>
            <w:hideMark/>
          </w:tcPr>
          <w:p>
            <w:pPr>
              <w:spacing w:after="0"/>
            </w:pPr>
            <w:r>
              <w:t>etap nr</w:t>
            </w:r>
          </w:p>
        </w:tc>
        <w:tc>
          <w:tcPr>
            <w:tcW w:w="0" w:type="auto"/>
            <w:vAlign w:val="center"/>
            <w:hideMark/>
          </w:tcPr>
          <w:p>
            <w:pPr>
              <w:spacing w:after="0"/>
            </w:pPr>
            <w:r>
              <w:t>czas trwania etapu</w:t>
            </w:r>
          </w:p>
        </w:tc>
      </w:tr>
      <w:tr>
        <w:trPr>
          <w:tblCellSpacing w:w="15" w:type="dxa"/>
        </w:trPr>
        <w:tc>
          <w:tcPr>
            <w:tcW w:w="0" w:type="auto"/>
            <w:vAlign w:val="center"/>
            <w:hideMark/>
          </w:tcPr>
          <w:p>
            <w:pPr>
              <w:spacing w:after="0"/>
            </w:pPr>
          </w:p>
        </w:tc>
        <w:tc>
          <w:tcPr>
            <w:tcW w:w="0" w:type="auto"/>
            <w:vAlign w:val="center"/>
            <w:hideMark/>
          </w:tcPr>
          <w:p>
            <w:pPr>
              <w:spacing w:after="0"/>
            </w:pPr>
          </w:p>
        </w:tc>
      </w:tr>
    </w:tbl>
    <w:p>
      <w:pPr>
        <w:spacing w:after="0"/>
      </w:pPr>
      <w:r>
        <w:br/>
        <w:t>Wykonawcy, którzy nie złożyli nowych postąpień, zostaną zakwalifikowani do następnego etapu: nie</w:t>
      </w:r>
    </w:p>
    <w:p>
      <w:pPr>
        <w:spacing w:after="0"/>
      </w:pPr>
      <w:r>
        <w:t>Termin otwarcia licytacji elektronicznej: </w:t>
      </w:r>
    </w:p>
    <w:p>
      <w:pPr>
        <w:spacing w:after="0"/>
      </w:pPr>
      <w:r>
        <w:t>Termin i warunki zamknięcia licytacji elektronicznej: </w:t>
      </w:r>
    </w:p>
    <w:p>
      <w:pPr>
        <w:spacing w:after="0"/>
      </w:pPr>
      <w:r>
        <w:br/>
        <w:t>Istotne dla stron postanowienia, które zostaną wprowadzone do treści zawieranej umowy w sprawie zamówienia publicznego, albo ogólne warunki umowy, albo wzór umowy: </w:t>
      </w:r>
    </w:p>
    <w:p>
      <w:pPr>
        <w:spacing w:after="0"/>
      </w:pPr>
      <w:r>
        <w:br/>
        <w:t>Wymagania dotyczące zabezpieczenia należytego wykonania umowy: </w:t>
      </w:r>
    </w:p>
    <w:p>
      <w:pPr>
        <w:spacing w:after="0"/>
      </w:pPr>
      <w:r>
        <w:br/>
        <w:t>Informacje dodatkowe: </w:t>
      </w:r>
    </w:p>
    <w:p>
      <w:pPr>
        <w:spacing w:after="0"/>
      </w:pPr>
      <w:r>
        <w:rPr>
          <w:b/>
          <w:bCs/>
        </w:rPr>
        <w:t>IV.5) ZMIANA UMOWY</w:t>
      </w:r>
      <w:r>
        <w:br/>
      </w:r>
      <w:r>
        <w:rPr>
          <w:b/>
          <w:bCs/>
        </w:rPr>
        <w:t>Przewiduje się istotne zmiany postanowień zawartej umowy w stosunku do treści oferty, na podstawie której dokonano wyboru wykonawcy:</w:t>
      </w:r>
      <w:r>
        <w:t> nie </w:t>
      </w:r>
      <w:r>
        <w:br/>
      </w:r>
      <w:r>
        <w:rPr>
          <w:b/>
          <w:bCs/>
        </w:rPr>
        <w:t>IV.6) INFORMACJE ADMINISTRACYJNE </w:t>
      </w:r>
      <w:r>
        <w:br/>
      </w:r>
      <w:r>
        <w:br/>
      </w:r>
      <w:r>
        <w:rPr>
          <w:b/>
          <w:bCs/>
        </w:rPr>
        <w:t>IV.6.1) Sposób udostępniania informacji o charakterze poufnym </w:t>
      </w:r>
      <w:r>
        <w:rPr>
          <w:i/>
          <w:iCs/>
        </w:rPr>
        <w:t>(jeżeli dotyczy): </w:t>
      </w:r>
      <w:r>
        <w:br/>
      </w:r>
      <w:r>
        <w:br/>
      </w:r>
      <w:r>
        <w:rPr>
          <w:b/>
          <w:bCs/>
        </w:rPr>
        <w:t>Środki służące ochronie informacji o charakterze poufnym</w:t>
      </w:r>
      <w:r>
        <w:br/>
      </w:r>
      <w:r>
        <w:br/>
      </w:r>
      <w:r>
        <w:rPr>
          <w:b/>
          <w:bCs/>
        </w:rPr>
        <w:t>IV.6.2) Termin składania ofert lub wniosków o dopuszczenie do udziału w postępowaniu: </w:t>
      </w:r>
      <w:r>
        <w:br/>
        <w:t>Data: 30/11/2016, godzina: 09:00, </w:t>
      </w:r>
      <w:r>
        <w:br/>
        <w:t>Skrócenie terminu składania wniosków, ze względu na pilną potrzebę udzielenia zamówienia (przetarg nieograniczony, przetarg ograniczony, negocjacje z ogłoszeniem): </w:t>
      </w:r>
      <w:r>
        <w:br/>
        <w:t>nie </w:t>
      </w:r>
      <w:r>
        <w:br/>
        <w:t>Wskazać powody: </w:t>
      </w:r>
      <w:r>
        <w:br/>
      </w:r>
      <w:r>
        <w:br/>
        <w:t>Język lub języki, w jakich mogą być sporządzane oferty lub wnioski o dopuszczenie do udziału w postępowaniu </w:t>
      </w:r>
      <w:r>
        <w:br/>
        <w:t>&gt; Polski </w:t>
      </w:r>
      <w:r>
        <w:br/>
      </w:r>
      <w:r>
        <w:rPr>
          <w:b/>
          <w:bCs/>
        </w:rPr>
        <w:t>IV.6.3) Termin związania ofertą: </w:t>
      </w:r>
      <w:r>
        <w:t>okres w dniach: 30 (od ostatecznego terminu składania ofert) </w:t>
      </w:r>
      <w:r>
        <w:br/>
      </w:r>
      <w:r>
        <w:rPr>
          <w:b/>
          <w:bCs/>
        </w:rPr>
        <w:t xml:space="preserve">IV.6.4) Przewiduje się unieważnienie postępowania o udzielenie zamówienia, w przypadku nieprzyznania środków pochodzących z budżetu Unii Europejskiej oraz niepodlegających zwrotowi </w:t>
      </w:r>
      <w:r>
        <w:rPr>
          <w:b/>
          <w:bCs/>
        </w:rPr>
        <w:lastRenderedPageBreak/>
        <w:t>środków z pomocy udzielonej przez państwa członkowskie Europejskiego Porozumienia o Wolnym Handlu (EFTA), które miały być przeznaczone na sfinansowanie całości lub części zamówienia:</w:t>
      </w:r>
      <w:r>
        <w:t>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nie </w:t>
      </w:r>
      <w:r>
        <w:br/>
      </w:r>
      <w:r>
        <w:rPr>
          <w:b/>
          <w:bCs/>
        </w:rPr>
        <w:t>IV.6.6) Informacje dodatkowe:</w:t>
      </w:r>
    </w:p>
    <w:p>
      <w:pPr>
        <w:spacing w:after="0"/>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9C652-84D8-4420-ACE0-E08C059D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91305">
      <w:bodyDiv w:val="1"/>
      <w:marLeft w:val="0"/>
      <w:marRight w:val="0"/>
      <w:marTop w:val="0"/>
      <w:marBottom w:val="0"/>
      <w:divBdr>
        <w:top w:val="none" w:sz="0" w:space="0" w:color="auto"/>
        <w:left w:val="none" w:sz="0" w:space="0" w:color="auto"/>
        <w:bottom w:val="none" w:sz="0" w:space="0" w:color="auto"/>
        <w:right w:val="none" w:sz="0" w:space="0" w:color="auto"/>
      </w:divBdr>
      <w:divsChild>
        <w:div w:id="178202882">
          <w:marLeft w:val="0"/>
          <w:marRight w:val="0"/>
          <w:marTop w:val="0"/>
          <w:marBottom w:val="0"/>
          <w:divBdr>
            <w:top w:val="none" w:sz="0" w:space="0" w:color="auto"/>
            <w:left w:val="none" w:sz="0" w:space="0" w:color="auto"/>
            <w:bottom w:val="none" w:sz="0" w:space="0" w:color="auto"/>
            <w:right w:val="none" w:sz="0" w:space="0" w:color="auto"/>
          </w:divBdr>
        </w:div>
        <w:div w:id="1131168167">
          <w:marLeft w:val="0"/>
          <w:marRight w:val="0"/>
          <w:marTop w:val="0"/>
          <w:marBottom w:val="0"/>
          <w:divBdr>
            <w:top w:val="none" w:sz="0" w:space="0" w:color="auto"/>
            <w:left w:val="none" w:sz="0" w:space="0" w:color="auto"/>
            <w:bottom w:val="none" w:sz="0" w:space="0" w:color="auto"/>
            <w:right w:val="none" w:sz="0" w:space="0" w:color="auto"/>
          </w:divBdr>
        </w:div>
        <w:div w:id="836922186">
          <w:marLeft w:val="0"/>
          <w:marRight w:val="0"/>
          <w:marTop w:val="0"/>
          <w:marBottom w:val="0"/>
          <w:divBdr>
            <w:top w:val="none" w:sz="0" w:space="0" w:color="auto"/>
            <w:left w:val="none" w:sz="0" w:space="0" w:color="auto"/>
            <w:bottom w:val="none" w:sz="0" w:space="0" w:color="auto"/>
            <w:right w:val="none" w:sz="0" w:space="0" w:color="auto"/>
          </w:divBdr>
        </w:div>
        <w:div w:id="324434947">
          <w:marLeft w:val="0"/>
          <w:marRight w:val="0"/>
          <w:marTop w:val="0"/>
          <w:marBottom w:val="0"/>
          <w:divBdr>
            <w:top w:val="none" w:sz="0" w:space="0" w:color="auto"/>
            <w:left w:val="none" w:sz="0" w:space="0" w:color="auto"/>
            <w:bottom w:val="none" w:sz="0" w:space="0" w:color="auto"/>
            <w:right w:val="none" w:sz="0" w:space="0" w:color="auto"/>
          </w:divBdr>
        </w:div>
        <w:div w:id="666321017">
          <w:marLeft w:val="0"/>
          <w:marRight w:val="0"/>
          <w:marTop w:val="0"/>
          <w:marBottom w:val="0"/>
          <w:divBdr>
            <w:top w:val="none" w:sz="0" w:space="0" w:color="auto"/>
            <w:left w:val="none" w:sz="0" w:space="0" w:color="auto"/>
            <w:bottom w:val="none" w:sz="0" w:space="0" w:color="auto"/>
            <w:right w:val="none" w:sz="0" w:space="0" w:color="auto"/>
          </w:divBdr>
        </w:div>
        <w:div w:id="1792816552">
          <w:marLeft w:val="0"/>
          <w:marRight w:val="0"/>
          <w:marTop w:val="0"/>
          <w:marBottom w:val="0"/>
          <w:divBdr>
            <w:top w:val="none" w:sz="0" w:space="0" w:color="auto"/>
            <w:left w:val="none" w:sz="0" w:space="0" w:color="auto"/>
            <w:bottom w:val="none" w:sz="0" w:space="0" w:color="auto"/>
            <w:right w:val="none" w:sz="0" w:space="0" w:color="auto"/>
          </w:divBdr>
        </w:div>
        <w:div w:id="307831657">
          <w:marLeft w:val="0"/>
          <w:marRight w:val="0"/>
          <w:marTop w:val="0"/>
          <w:marBottom w:val="0"/>
          <w:divBdr>
            <w:top w:val="none" w:sz="0" w:space="0" w:color="auto"/>
            <w:left w:val="none" w:sz="0" w:space="0" w:color="auto"/>
            <w:bottom w:val="none" w:sz="0" w:space="0" w:color="auto"/>
            <w:right w:val="none" w:sz="0" w:space="0" w:color="auto"/>
          </w:divBdr>
        </w:div>
        <w:div w:id="2064523149">
          <w:marLeft w:val="0"/>
          <w:marRight w:val="0"/>
          <w:marTop w:val="0"/>
          <w:marBottom w:val="0"/>
          <w:divBdr>
            <w:top w:val="none" w:sz="0" w:space="0" w:color="auto"/>
            <w:left w:val="none" w:sz="0" w:space="0" w:color="auto"/>
            <w:bottom w:val="none" w:sz="0" w:space="0" w:color="auto"/>
            <w:right w:val="none" w:sz="0" w:space="0" w:color="auto"/>
          </w:divBdr>
        </w:div>
        <w:div w:id="1988364661">
          <w:marLeft w:val="0"/>
          <w:marRight w:val="0"/>
          <w:marTop w:val="0"/>
          <w:marBottom w:val="0"/>
          <w:divBdr>
            <w:top w:val="none" w:sz="0" w:space="0" w:color="auto"/>
            <w:left w:val="none" w:sz="0" w:space="0" w:color="auto"/>
            <w:bottom w:val="none" w:sz="0" w:space="0" w:color="auto"/>
            <w:right w:val="none" w:sz="0" w:space="0" w:color="auto"/>
          </w:divBdr>
        </w:div>
        <w:div w:id="1776365100">
          <w:marLeft w:val="0"/>
          <w:marRight w:val="0"/>
          <w:marTop w:val="0"/>
          <w:marBottom w:val="0"/>
          <w:divBdr>
            <w:top w:val="none" w:sz="0" w:space="0" w:color="auto"/>
            <w:left w:val="none" w:sz="0" w:space="0" w:color="auto"/>
            <w:bottom w:val="none" w:sz="0" w:space="0" w:color="auto"/>
            <w:right w:val="none" w:sz="0" w:space="0" w:color="auto"/>
          </w:divBdr>
        </w:div>
        <w:div w:id="1474983203">
          <w:marLeft w:val="0"/>
          <w:marRight w:val="0"/>
          <w:marTop w:val="0"/>
          <w:marBottom w:val="0"/>
          <w:divBdr>
            <w:top w:val="none" w:sz="0" w:space="0" w:color="auto"/>
            <w:left w:val="none" w:sz="0" w:space="0" w:color="auto"/>
            <w:bottom w:val="none" w:sz="0" w:space="0" w:color="auto"/>
            <w:right w:val="none" w:sz="0" w:space="0" w:color="auto"/>
          </w:divBdr>
        </w:div>
        <w:div w:id="2055110043">
          <w:marLeft w:val="0"/>
          <w:marRight w:val="0"/>
          <w:marTop w:val="0"/>
          <w:marBottom w:val="0"/>
          <w:divBdr>
            <w:top w:val="none" w:sz="0" w:space="0" w:color="auto"/>
            <w:left w:val="none" w:sz="0" w:space="0" w:color="auto"/>
            <w:bottom w:val="none" w:sz="0" w:space="0" w:color="auto"/>
            <w:right w:val="none" w:sz="0" w:space="0" w:color="auto"/>
          </w:divBdr>
        </w:div>
        <w:div w:id="1673290065">
          <w:marLeft w:val="0"/>
          <w:marRight w:val="0"/>
          <w:marTop w:val="0"/>
          <w:marBottom w:val="0"/>
          <w:divBdr>
            <w:top w:val="none" w:sz="0" w:space="0" w:color="auto"/>
            <w:left w:val="none" w:sz="0" w:space="0" w:color="auto"/>
            <w:bottom w:val="none" w:sz="0" w:space="0" w:color="auto"/>
            <w:right w:val="none" w:sz="0" w:space="0" w:color="auto"/>
          </w:divBdr>
        </w:div>
        <w:div w:id="385301035">
          <w:marLeft w:val="0"/>
          <w:marRight w:val="0"/>
          <w:marTop w:val="0"/>
          <w:marBottom w:val="0"/>
          <w:divBdr>
            <w:top w:val="none" w:sz="0" w:space="0" w:color="auto"/>
            <w:left w:val="none" w:sz="0" w:space="0" w:color="auto"/>
            <w:bottom w:val="none" w:sz="0" w:space="0" w:color="auto"/>
            <w:right w:val="none" w:sz="0" w:space="0" w:color="auto"/>
          </w:divBdr>
        </w:div>
        <w:div w:id="248587780">
          <w:marLeft w:val="0"/>
          <w:marRight w:val="0"/>
          <w:marTop w:val="0"/>
          <w:marBottom w:val="0"/>
          <w:divBdr>
            <w:top w:val="none" w:sz="0" w:space="0" w:color="auto"/>
            <w:left w:val="none" w:sz="0" w:space="0" w:color="auto"/>
            <w:bottom w:val="none" w:sz="0" w:space="0" w:color="auto"/>
            <w:right w:val="none" w:sz="0" w:space="0" w:color="auto"/>
          </w:divBdr>
        </w:div>
        <w:div w:id="2013340307">
          <w:marLeft w:val="0"/>
          <w:marRight w:val="0"/>
          <w:marTop w:val="0"/>
          <w:marBottom w:val="0"/>
          <w:divBdr>
            <w:top w:val="none" w:sz="0" w:space="0" w:color="auto"/>
            <w:left w:val="none" w:sz="0" w:space="0" w:color="auto"/>
            <w:bottom w:val="none" w:sz="0" w:space="0" w:color="auto"/>
            <w:right w:val="none" w:sz="0" w:space="0" w:color="auto"/>
          </w:divBdr>
        </w:div>
        <w:div w:id="1715809780">
          <w:marLeft w:val="0"/>
          <w:marRight w:val="0"/>
          <w:marTop w:val="0"/>
          <w:marBottom w:val="0"/>
          <w:divBdr>
            <w:top w:val="none" w:sz="0" w:space="0" w:color="auto"/>
            <w:left w:val="none" w:sz="0" w:space="0" w:color="auto"/>
            <w:bottom w:val="none" w:sz="0" w:space="0" w:color="auto"/>
            <w:right w:val="none" w:sz="0" w:space="0" w:color="auto"/>
          </w:divBdr>
        </w:div>
        <w:div w:id="2051177549">
          <w:marLeft w:val="0"/>
          <w:marRight w:val="0"/>
          <w:marTop w:val="0"/>
          <w:marBottom w:val="0"/>
          <w:divBdr>
            <w:top w:val="none" w:sz="0" w:space="0" w:color="auto"/>
            <w:left w:val="none" w:sz="0" w:space="0" w:color="auto"/>
            <w:bottom w:val="none" w:sz="0" w:space="0" w:color="auto"/>
            <w:right w:val="none" w:sz="0" w:space="0" w:color="auto"/>
          </w:divBdr>
        </w:div>
        <w:div w:id="1336883414">
          <w:marLeft w:val="0"/>
          <w:marRight w:val="0"/>
          <w:marTop w:val="0"/>
          <w:marBottom w:val="0"/>
          <w:divBdr>
            <w:top w:val="none" w:sz="0" w:space="0" w:color="auto"/>
            <w:left w:val="none" w:sz="0" w:space="0" w:color="auto"/>
            <w:bottom w:val="none" w:sz="0" w:space="0" w:color="auto"/>
            <w:right w:val="none" w:sz="0" w:space="0" w:color="auto"/>
          </w:divBdr>
        </w:div>
        <w:div w:id="1945917107">
          <w:marLeft w:val="0"/>
          <w:marRight w:val="0"/>
          <w:marTop w:val="0"/>
          <w:marBottom w:val="0"/>
          <w:divBdr>
            <w:top w:val="none" w:sz="0" w:space="0" w:color="auto"/>
            <w:left w:val="none" w:sz="0" w:space="0" w:color="auto"/>
            <w:bottom w:val="none" w:sz="0" w:space="0" w:color="auto"/>
            <w:right w:val="none" w:sz="0" w:space="0" w:color="auto"/>
          </w:divBdr>
        </w:div>
        <w:div w:id="730883672">
          <w:marLeft w:val="0"/>
          <w:marRight w:val="0"/>
          <w:marTop w:val="0"/>
          <w:marBottom w:val="0"/>
          <w:divBdr>
            <w:top w:val="none" w:sz="0" w:space="0" w:color="auto"/>
            <w:left w:val="none" w:sz="0" w:space="0" w:color="auto"/>
            <w:bottom w:val="none" w:sz="0" w:space="0" w:color="auto"/>
            <w:right w:val="none" w:sz="0" w:space="0" w:color="auto"/>
          </w:divBdr>
        </w:div>
        <w:div w:id="1889416078">
          <w:marLeft w:val="0"/>
          <w:marRight w:val="0"/>
          <w:marTop w:val="0"/>
          <w:marBottom w:val="0"/>
          <w:divBdr>
            <w:top w:val="none" w:sz="0" w:space="0" w:color="auto"/>
            <w:left w:val="none" w:sz="0" w:space="0" w:color="auto"/>
            <w:bottom w:val="none" w:sz="0" w:space="0" w:color="auto"/>
            <w:right w:val="none" w:sz="0" w:space="0" w:color="auto"/>
          </w:divBdr>
        </w:div>
        <w:div w:id="1911193417">
          <w:marLeft w:val="0"/>
          <w:marRight w:val="0"/>
          <w:marTop w:val="0"/>
          <w:marBottom w:val="0"/>
          <w:divBdr>
            <w:top w:val="none" w:sz="0" w:space="0" w:color="auto"/>
            <w:left w:val="none" w:sz="0" w:space="0" w:color="auto"/>
            <w:bottom w:val="none" w:sz="0" w:space="0" w:color="auto"/>
            <w:right w:val="none" w:sz="0" w:space="0" w:color="auto"/>
          </w:divBdr>
        </w:div>
        <w:div w:id="1147624865">
          <w:marLeft w:val="0"/>
          <w:marRight w:val="0"/>
          <w:marTop w:val="0"/>
          <w:marBottom w:val="0"/>
          <w:divBdr>
            <w:top w:val="none" w:sz="0" w:space="0" w:color="auto"/>
            <w:left w:val="none" w:sz="0" w:space="0" w:color="auto"/>
            <w:bottom w:val="none" w:sz="0" w:space="0" w:color="auto"/>
            <w:right w:val="none" w:sz="0" w:space="0" w:color="auto"/>
          </w:divBdr>
        </w:div>
        <w:div w:id="477306998">
          <w:marLeft w:val="0"/>
          <w:marRight w:val="0"/>
          <w:marTop w:val="0"/>
          <w:marBottom w:val="0"/>
          <w:divBdr>
            <w:top w:val="none" w:sz="0" w:space="0" w:color="auto"/>
            <w:left w:val="none" w:sz="0" w:space="0" w:color="auto"/>
            <w:bottom w:val="none" w:sz="0" w:space="0" w:color="auto"/>
            <w:right w:val="none" w:sz="0" w:space="0" w:color="auto"/>
          </w:divBdr>
        </w:div>
        <w:div w:id="1511409178">
          <w:marLeft w:val="0"/>
          <w:marRight w:val="0"/>
          <w:marTop w:val="0"/>
          <w:marBottom w:val="0"/>
          <w:divBdr>
            <w:top w:val="none" w:sz="0" w:space="0" w:color="auto"/>
            <w:left w:val="none" w:sz="0" w:space="0" w:color="auto"/>
            <w:bottom w:val="none" w:sz="0" w:space="0" w:color="auto"/>
            <w:right w:val="none" w:sz="0" w:space="0" w:color="auto"/>
          </w:divBdr>
        </w:div>
        <w:div w:id="1802070971">
          <w:marLeft w:val="0"/>
          <w:marRight w:val="0"/>
          <w:marTop w:val="0"/>
          <w:marBottom w:val="0"/>
          <w:divBdr>
            <w:top w:val="none" w:sz="0" w:space="0" w:color="auto"/>
            <w:left w:val="none" w:sz="0" w:space="0" w:color="auto"/>
            <w:bottom w:val="none" w:sz="0" w:space="0" w:color="auto"/>
            <w:right w:val="none" w:sz="0" w:space="0" w:color="auto"/>
          </w:divBdr>
        </w:div>
        <w:div w:id="234978429">
          <w:marLeft w:val="0"/>
          <w:marRight w:val="0"/>
          <w:marTop w:val="0"/>
          <w:marBottom w:val="0"/>
          <w:divBdr>
            <w:top w:val="none" w:sz="0" w:space="0" w:color="auto"/>
            <w:left w:val="none" w:sz="0" w:space="0" w:color="auto"/>
            <w:bottom w:val="none" w:sz="0" w:space="0" w:color="auto"/>
            <w:right w:val="none" w:sz="0" w:space="0" w:color="auto"/>
          </w:divBdr>
        </w:div>
        <w:div w:id="2036618657">
          <w:marLeft w:val="0"/>
          <w:marRight w:val="0"/>
          <w:marTop w:val="0"/>
          <w:marBottom w:val="0"/>
          <w:divBdr>
            <w:top w:val="none" w:sz="0" w:space="0" w:color="auto"/>
            <w:left w:val="none" w:sz="0" w:space="0" w:color="auto"/>
            <w:bottom w:val="none" w:sz="0" w:space="0" w:color="auto"/>
            <w:right w:val="none" w:sz="0" w:space="0" w:color="auto"/>
          </w:divBdr>
        </w:div>
        <w:div w:id="542987301">
          <w:marLeft w:val="0"/>
          <w:marRight w:val="0"/>
          <w:marTop w:val="0"/>
          <w:marBottom w:val="0"/>
          <w:divBdr>
            <w:top w:val="none" w:sz="0" w:space="0" w:color="auto"/>
            <w:left w:val="none" w:sz="0" w:space="0" w:color="auto"/>
            <w:bottom w:val="none" w:sz="0" w:space="0" w:color="auto"/>
            <w:right w:val="none" w:sz="0" w:space="0" w:color="auto"/>
          </w:divBdr>
        </w:div>
        <w:div w:id="71605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2718</Words>
  <Characters>16314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Saidło</dc:creator>
  <cp:keywords/>
  <dc:description/>
  <cp:lastModifiedBy>Jarosław Saidło</cp:lastModifiedBy>
  <cp:revision>2</cp:revision>
  <cp:lastPrinted>2016-11-17T09:22:00Z</cp:lastPrinted>
  <dcterms:created xsi:type="dcterms:W3CDTF">2016-11-17T09:20:00Z</dcterms:created>
  <dcterms:modified xsi:type="dcterms:W3CDTF">2016-11-17T09:22:00Z</dcterms:modified>
</cp:coreProperties>
</file>